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79" w:rsidRDefault="00E92479" w:rsidP="00E92479">
      <w:pPr>
        <w:spacing w:after="0" w:line="300" w:lineRule="auto"/>
        <w:ind w:left="702" w:firstLine="5670"/>
        <w:rPr>
          <w:rFonts w:ascii="Times New Roman" w:hAnsi="Times New Roman" w:cs="Times New Roman"/>
          <w:sz w:val="28"/>
          <w:szCs w:val="28"/>
        </w:rPr>
      </w:pPr>
      <w:r>
        <w:rPr>
          <w:rFonts w:ascii="Times New Roman" w:hAnsi="Times New Roman" w:cs="Times New Roman"/>
          <w:sz w:val="28"/>
          <w:szCs w:val="28"/>
        </w:rPr>
        <w:t>УТВЕРЖДЕН</w:t>
      </w:r>
    </w:p>
    <w:p w:rsidR="00E92479" w:rsidRDefault="00E92479" w:rsidP="00E92479">
      <w:pPr>
        <w:spacing w:after="0" w:line="300" w:lineRule="auto"/>
        <w:ind w:left="702" w:firstLine="5670"/>
        <w:rPr>
          <w:rFonts w:ascii="Times New Roman" w:hAnsi="Times New Roman" w:cs="Times New Roman"/>
          <w:sz w:val="28"/>
          <w:szCs w:val="28"/>
        </w:rPr>
      </w:pPr>
      <w:r>
        <w:rPr>
          <w:rFonts w:ascii="Times New Roman" w:hAnsi="Times New Roman" w:cs="Times New Roman"/>
          <w:sz w:val="28"/>
          <w:szCs w:val="28"/>
        </w:rPr>
        <w:t>« 10 »  марта  2024г</w:t>
      </w:r>
    </w:p>
    <w:p w:rsidR="00E92479" w:rsidRDefault="00E92479" w:rsidP="00E92479">
      <w:pPr>
        <w:spacing w:after="0" w:line="300" w:lineRule="auto"/>
        <w:ind w:left="702" w:firstLine="5670"/>
        <w:rPr>
          <w:rFonts w:ascii="Times New Roman" w:hAnsi="Times New Roman" w:cs="Times New Roman"/>
          <w:sz w:val="28"/>
          <w:szCs w:val="28"/>
        </w:rPr>
      </w:pPr>
      <w:r>
        <w:rPr>
          <w:rFonts w:ascii="Times New Roman" w:hAnsi="Times New Roman" w:cs="Times New Roman"/>
          <w:sz w:val="28"/>
          <w:szCs w:val="28"/>
        </w:rPr>
        <w:t>Коллегиальным органом</w:t>
      </w:r>
    </w:p>
    <w:p w:rsidR="00E92479" w:rsidRDefault="00E92479" w:rsidP="00E92479">
      <w:pPr>
        <w:spacing w:after="0" w:line="300" w:lineRule="auto"/>
        <w:ind w:firstLine="5670"/>
        <w:rPr>
          <w:rFonts w:ascii="Times New Roman" w:hAnsi="Times New Roman" w:cs="Times New Roman"/>
          <w:sz w:val="28"/>
          <w:szCs w:val="28"/>
        </w:rPr>
      </w:pPr>
    </w:p>
    <w:p w:rsidR="00E92479" w:rsidRDefault="00E92479" w:rsidP="00E92479">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Доклад</w:t>
      </w:r>
    </w:p>
    <w:p w:rsidR="00E92479" w:rsidRDefault="00E92479" w:rsidP="00E92479">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 xml:space="preserve"> об антимонопольном  комплаенсе   Администрации </w:t>
      </w:r>
    </w:p>
    <w:p w:rsidR="00E92479" w:rsidRDefault="00E92479" w:rsidP="00E92479">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городского округа  Мытищи за 2023 год</w:t>
      </w:r>
    </w:p>
    <w:p w:rsidR="00E92479" w:rsidRDefault="00E92479" w:rsidP="00E92479">
      <w:pPr>
        <w:spacing w:after="0" w:line="300" w:lineRule="auto"/>
        <w:jc w:val="center"/>
        <w:rPr>
          <w:rFonts w:ascii="Times New Roman" w:hAnsi="Times New Roman" w:cs="Times New Roman"/>
          <w:sz w:val="28"/>
          <w:szCs w:val="28"/>
        </w:rPr>
      </w:pPr>
    </w:p>
    <w:p w:rsidR="00E92479" w:rsidRDefault="00E92479" w:rsidP="00E92479">
      <w:pPr>
        <w:spacing w:after="0" w:line="30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 исполнение Указа Президента Российской Федерации от 21.12.2017       № 618 «Об основных направлениях государственной политики по развитию конкуренции» в целях обеспечения соблюдения антимонопольного законодательства и профилактики его нарушений в Администрации городского округа Мытищи  (далее – Администрация)  постановлением  Администрации городского округа Мытищи от 12.02.2020г. № 492   организована  система внутреннего обеспечения соответствия требованиям антимонопольного законодательства. </w:t>
      </w:r>
      <w:proofErr w:type="gramEnd"/>
    </w:p>
    <w:p w:rsidR="00E92479" w:rsidRDefault="00E92479" w:rsidP="00E92479">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Антимонопольный комплаенс – это  совокупность правовых и организационных мер, направленных на соблюдение требований антимонопольного законодательства и предупреждение его нарушений.</w:t>
      </w:r>
    </w:p>
    <w:p w:rsidR="00E92479" w:rsidRDefault="00E92479" w:rsidP="00E92479">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w:t>
      </w:r>
      <w:proofErr w:type="gramStart"/>
      <w:r>
        <w:rPr>
          <w:rFonts w:ascii="Times New Roman" w:hAnsi="Times New Roman" w:cs="Times New Roman"/>
          <w:sz w:val="28"/>
          <w:szCs w:val="28"/>
        </w:rPr>
        <w:t>антимонопольного</w:t>
      </w:r>
      <w:proofErr w:type="gramEnd"/>
      <w:r>
        <w:rPr>
          <w:rFonts w:ascii="Times New Roman" w:hAnsi="Times New Roman" w:cs="Times New Roman"/>
          <w:sz w:val="28"/>
          <w:szCs w:val="28"/>
        </w:rPr>
        <w:t xml:space="preserve"> комплаенса:</w:t>
      </w:r>
    </w:p>
    <w:p w:rsidR="00E92479" w:rsidRDefault="00E92479" w:rsidP="00E92479">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а) выявление рисков нарушения антимонопольного законодательства;</w:t>
      </w:r>
    </w:p>
    <w:p w:rsidR="00E92479" w:rsidRDefault="00E92479" w:rsidP="00E92479">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б) управление рисками нарушения  антимонопольного законодательства;</w:t>
      </w:r>
    </w:p>
    <w:p w:rsidR="00E92479" w:rsidRDefault="00E92479" w:rsidP="00E92479">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соответствием деятельности Администрации требованиям Антимонопольного законодательства;</w:t>
      </w:r>
    </w:p>
    <w:p w:rsidR="00E92479" w:rsidRDefault="00E92479" w:rsidP="00E92479">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г) оценка эффективности функционирования  в Администрации антимонопольного законодательства.</w:t>
      </w:r>
    </w:p>
    <w:p w:rsidR="00E92479" w:rsidRDefault="00E92479" w:rsidP="00E92479">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об организации в Администрации городского округа Мытищи системы внутреннего обеспечения соответствия требованиям антимонопольного законодательства, общий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организацией                       и функционированием в Администрации антимонопольного законодательства осуществляется Главой  городского округа Мытищи.</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Уполномоченным органом,  осуществляющим внедрение </w:t>
      </w:r>
      <w:proofErr w:type="gramStart"/>
      <w:r>
        <w:rPr>
          <w:rFonts w:ascii="Times New Roman" w:hAnsi="Times New Roman" w:cs="Times New Roman"/>
          <w:sz w:val="28"/>
          <w:szCs w:val="28"/>
        </w:rPr>
        <w:t>антимонопольного</w:t>
      </w:r>
      <w:proofErr w:type="gramEnd"/>
      <w:r>
        <w:rPr>
          <w:rFonts w:ascii="Times New Roman" w:hAnsi="Times New Roman" w:cs="Times New Roman"/>
          <w:sz w:val="28"/>
          <w:szCs w:val="28"/>
        </w:rPr>
        <w:t xml:space="preserve"> комплаенса и контроль за его исполнением, определено  МКУ «Правовое управление г.о. Мытищи».</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В целях обеспечения открытости и доступности к функционированию антимонопольного комплаенса в Администрации, на официальном сайте органов местного самоуправления городского округа Мытищи в сети интернет  создан раздел «Антимонопольный комплаенс» </w:t>
      </w:r>
      <w:hyperlink r:id="rId6" w:history="1">
        <w:r>
          <w:rPr>
            <w:rStyle w:val="a3"/>
            <w:rFonts w:ascii="Times New Roman" w:hAnsi="Times New Roman" w:cs="Times New Roman"/>
            <w:sz w:val="28"/>
            <w:szCs w:val="28"/>
          </w:rPr>
          <w:t>https://mytyshi.ru/docs/antimonopolnyj-komplaens-2239</w:t>
        </w:r>
      </w:hyperlink>
      <w:r>
        <w:rPr>
          <w:rFonts w:ascii="Times New Roman" w:hAnsi="Times New Roman" w:cs="Times New Roman"/>
          <w:sz w:val="28"/>
          <w:szCs w:val="28"/>
        </w:rPr>
        <w:t xml:space="preserve">. </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Уполномоченным органом в целях выявления рисков нарушения антимонопольного законодательства от органов Администрации  была запрошена информация о возможных нарушениях антимонопольного законодательства              и предложения по их минимизации.  Принято постановление  от 21.03.2023г. № 1252    «Об утверждении карты рисков   нарушений  антимонопольного законодательства    в Администрации городского округа Мытищи на 2023 год».  Постановлением          от 21.03.2023  № 1253  был утвержден  план мероприятий по снижению  рисков нарушения антимонопольного законодательства  в Администрации городского округа Мытищи в 2023году.</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Согласно карте комплаенс-рисков нарушения антимонопольного законодательства возможны в следующих сферах деятельности Администрации:</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при  утверждении нормативных правовых актов (далее по тексту – НПА);</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при осуществлении закупок;</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при проведении конкурса по отбору управляющей организации для управления многоквартирными домами; </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при владении, пользовании и распоряжении муниципальным имуществом;</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при оказании финансовой поддержки субъектам малого и среднего предпринимательства;</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возникновение конфликта интересов в деятельности муниципальных служащих. Несоблюдение муниципальными служащими обязанностей  по принятию мер по предотвращению и урегулированию конфликта интересов, предусмотренных законодательством о противодействии коррупции</w:t>
      </w:r>
    </w:p>
    <w:p w:rsidR="00E92479" w:rsidRDefault="00E92479" w:rsidP="00E92479">
      <w:pPr>
        <w:shd w:val="clear" w:color="auto" w:fill="FFFFFF"/>
        <w:spacing w:after="0" w:line="300"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t>В целях реализации утвержденного постановлением  Администрации              от 21.03.2023  № 1253  Плана мероприятий по снижению рисков нарушения антимонопольного законодательства,  в Администрации реализуются следующие меры  по их минимизации:</w:t>
      </w:r>
    </w:p>
    <w:p w:rsidR="00E92479" w:rsidRDefault="00E92479" w:rsidP="00E92479">
      <w:pPr>
        <w:shd w:val="clear" w:color="auto" w:fill="FFFFFF"/>
        <w:spacing w:after="0" w:line="30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ab/>
        <w:t xml:space="preserve"> Проекты муниципальных НПА проходят проверку на предмет </w:t>
      </w:r>
      <w:proofErr w:type="gramStart"/>
      <w:r>
        <w:rPr>
          <w:rFonts w:ascii="Times New Roman" w:hAnsi="Times New Roman" w:cs="Times New Roman"/>
          <w:sz w:val="28"/>
          <w:szCs w:val="28"/>
        </w:rPr>
        <w:t>выявления рисков нарушений антимонопольного законодательства Российской Федерации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целях исключения положений, противоречащих нормам антимонопольного законодательства  на стадии разработки проектов НПА, договоров, соглашений МКУ «Правовое  управление г.о. Мытищи»  в соответствии с  Положением             «О проведении антикоррупционной экспертизы нормативных правовых актов администрации городского округа Мытищи и их проектов» утвержденным  постановлением Администрации от 21.11.2016 № 4742,  на постоянной основе проводится правовая экспертиза  перечисленных актов, подготовленных органами администрации.</w:t>
      </w:r>
      <w:proofErr w:type="gramEnd"/>
      <w:r>
        <w:rPr>
          <w:rFonts w:ascii="Times New Roman" w:hAnsi="Times New Roman" w:cs="Times New Roman"/>
          <w:sz w:val="28"/>
          <w:szCs w:val="28"/>
        </w:rPr>
        <w:t xml:space="preserve">   В целях обеспечения возможности проведения независимой экспертизы, для осуществления сбора и проведения оценки поступающих замечаний и предложений проекты НПА размещаются на интернет - сайте  органов местного самоуправления в разделе «Документы», вкладка «Проекты нормативно правовых актов».  Также, все  проекты НПА направляются   в Мытищинскую городскую прокуратуру на предмет соответствия требованиям федерального законодательства в соответствии с Порядком взаимодействия администрации городского округа Мытищи с Мытищинской городской прокуратурой при подготовке проектов нормативных правовых актов, утверждённым постановлением Администрации         от 19.05.2016г. № 1828.</w:t>
      </w:r>
    </w:p>
    <w:p w:rsidR="00E92479" w:rsidRDefault="00E92479" w:rsidP="00E92479">
      <w:pPr>
        <w:shd w:val="clear" w:color="auto" w:fill="FFFFFF"/>
        <w:spacing w:after="0" w:line="300"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t xml:space="preserve">Закупки товаров, работ, услуг для нужд городского округа Мытищи, осуществляемые Администрацией, проводятся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гл. 4 Федерального закона от 26.07.2006 N 135-ФЗ «О защите конкуренции». </w:t>
      </w:r>
    </w:p>
    <w:p w:rsidR="00E92479" w:rsidRDefault="00E92479" w:rsidP="00E92479">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Сотрудники контрактной службы Администрации  и МКУ «Управление            в сфере закупок  для муниципальных нужд»  с рекомендованной периодичностью проходят обучение для поддержания квалификации и профессионального образования. В 2023 году обучение прошли 2 сотрудника. Осуществляется постоянный мониторинг изменений законодательства Российской Федерации и   иных  НПА о контрактной системе. Проводится анализ поступивших жалоб, допущенных нарушений  и учет в работе принятых по жалобам решений.  Вся документация о закупках  (до их размещения) проходит проверку на предмет </w:t>
      </w:r>
      <w:proofErr w:type="gramStart"/>
      <w:r>
        <w:rPr>
          <w:rFonts w:ascii="Times New Roman" w:hAnsi="Times New Roman" w:cs="Times New Roman"/>
          <w:sz w:val="28"/>
          <w:szCs w:val="28"/>
        </w:rPr>
        <w:t>соответствия</w:t>
      </w:r>
      <w:proofErr w:type="gramEnd"/>
      <w:r>
        <w:rPr>
          <w:rFonts w:ascii="Times New Roman" w:hAnsi="Times New Roman" w:cs="Times New Roman"/>
          <w:sz w:val="28"/>
          <w:szCs w:val="28"/>
        </w:rPr>
        <w:t xml:space="preserve"> требованиям </w:t>
      </w:r>
      <w:r>
        <w:rPr>
          <w:rFonts w:ascii="Times New Roman" w:hAnsi="Times New Roman" w:cs="Times New Roman"/>
          <w:sz w:val="28"/>
          <w:szCs w:val="28"/>
        </w:rPr>
        <w:lastRenderedPageBreak/>
        <w:t>действующего законодательства, включая антимонопольное законодательство.</w:t>
      </w:r>
    </w:p>
    <w:p w:rsidR="00E92479" w:rsidRDefault="00E92479" w:rsidP="00E92479">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Открытые конкурсы по отбору Управляющей организации проводятся Администрацией в случаях, установленных  п. 4 ст. 161 Жилищного кодекса Российской Федерации в соответствии с   порядком,  определенным Постановлением Правительства РФ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Сотрудниками проводится мониторинг изменений законодательства, регламентирующего правила и порядок отбора управляющей организации для управления многоквартирными домами, учитывается  в работе судебно-административная практика при принятии решений. Конкурсная документация также  проходит правовую экспертизу на предмет соответствия требованиям действующего законодательства, в том числе, на недопущение нарушений антимонопольного законодательства.</w:t>
      </w:r>
    </w:p>
    <w:p w:rsidR="00E92479" w:rsidRDefault="00E92479" w:rsidP="00E92479">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Распоряжение муниципальным имуществом при заключении договоров аренды, купли-продажи земельных участков, договоров безвозмездного пользования, договоров доверительного управления, иных договоров,  предусматривающих переход права владения и (или) пользования в отношении муниципального имущества  осуществляется в соответствии с требованиями действующего законодательства. Осуществляется постоянный мониторинг законодательства в сфере земельно-имущественных отношений, внутренний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требований  антимонопольного законодательства при разработке документов. </w:t>
      </w:r>
    </w:p>
    <w:p w:rsidR="00E92479" w:rsidRPr="00BD02C1" w:rsidRDefault="00E92479" w:rsidP="00E92479">
      <w:pPr>
        <w:autoSpaceDE w:val="0"/>
        <w:autoSpaceDN w:val="0"/>
        <w:adjustRightInd w:val="0"/>
        <w:spacing w:after="0" w:line="30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Оказание финансовой поддержки субъектам малого и среднего предпринимательства осуществляется в соответствии с Постановлением Администрации городского округа Мытищи МО от 26.07.2023 № 3780 « Об утверждении порядка </w:t>
      </w:r>
      <w:r w:rsidRPr="00BD02C1">
        <w:rPr>
          <w:rFonts w:ascii="Times New Roman" w:hAnsi="Times New Roman" w:cs="Times New Roman"/>
          <w:sz w:val="28"/>
          <w:szCs w:val="28"/>
        </w:rPr>
        <w:t xml:space="preserve"> предоставления финансовой поддержки (субсидий) субъектам малого и среднего предпринимательства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 Мытищи от 14.11.2022 № 5263</w:t>
      </w:r>
      <w:r>
        <w:rPr>
          <w:rFonts w:ascii="Times New Roman" w:hAnsi="Times New Roman" w:cs="Times New Roman"/>
          <w:sz w:val="28"/>
          <w:szCs w:val="28"/>
        </w:rPr>
        <w:t>»</w:t>
      </w:r>
      <w:proofErr w:type="gramEnd"/>
    </w:p>
    <w:p w:rsidR="00E92479" w:rsidRDefault="00E92479" w:rsidP="00E92479">
      <w:pPr>
        <w:autoSpaceDE w:val="0"/>
        <w:autoSpaceDN w:val="0"/>
        <w:adjustRightInd w:val="0"/>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внутренний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обоснованностью предоставления финансовой поддержки и отказом в ее предоставлении.</w:t>
      </w:r>
    </w:p>
    <w:p w:rsidR="00E92479" w:rsidRDefault="00E92479" w:rsidP="00E92479">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2023 году прошли обучение 3 муниципальных служащих и 2 работника   Администрации  по дополнительной профессиональной программе «Противодействие коррупции в Российской Федерации», 3  муниципальных служащих и 3 работника Администрации - по программе  «Закупки товаров, работ, услуг для обеспечения государственных     и муниципальных нужд».  </w:t>
      </w:r>
    </w:p>
    <w:p w:rsidR="00E92479" w:rsidRDefault="00E92479" w:rsidP="00E92479">
      <w:pPr>
        <w:shd w:val="clear" w:color="auto" w:fill="FFFFFF"/>
        <w:spacing w:after="0" w:line="30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В целях проведения анализа выявленных нарушений антимонопольного законодательства в деятельности Администрации за 3 года,   Уполномоченным органом  у органов Администрации, МКУ «Управление ЖКХ г.о. Мытищи»             и МКУ «Управление в сфере закупок для муниципальных нужд» запрошена информация о наличии (отсутствии)  нарушений (наличии предостережений, предупреждений, штрафов, жалоб, возбужденных дел о нарушениях антимонопольного законодательства).  По результатам проведения анализа представленной информации, необходимо отметить следующее.</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Муниципальные нормативные  правовые акты соответствуют антимонопольному законодательству. Нормативные правовые акты и проекты нормативных правовых актов, в которых  ФАС выявил нарушения антимонопольного законодательства в указанный период, отсутствуют.</w:t>
      </w:r>
    </w:p>
    <w:p w:rsidR="00E92479" w:rsidRDefault="00E92479" w:rsidP="00E92479">
      <w:pPr>
        <w:shd w:val="clear" w:color="auto" w:fill="FFFFFF"/>
        <w:spacing w:after="0" w:line="300" w:lineRule="auto"/>
        <w:ind w:firstLine="708"/>
        <w:jc w:val="both"/>
        <w:textAlignment w:val="baseline"/>
        <w:rPr>
          <w:rFonts w:ascii="Times New Roman" w:hAnsi="Times New Roman" w:cs="Times New Roman"/>
          <w:sz w:val="28"/>
          <w:szCs w:val="28"/>
        </w:rPr>
      </w:pPr>
    </w:p>
    <w:p w:rsidR="00E92479" w:rsidRDefault="00E92479" w:rsidP="00E92479">
      <w:pPr>
        <w:autoSpaceDE w:val="0"/>
        <w:autoSpaceDN w:val="0"/>
        <w:adjustRightInd w:val="0"/>
        <w:spacing w:after="0" w:line="30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 1 января по 31 декабря 2022года на действия   Администрации городского округа Мытищи (включая МКУ «Управление по обеспечению деятельности органов местного самоуправления г.о. Мытищи», МКУ «Территориальное управление «Пироговский», МКУ «Территориальное управление «Федоскино», МКУ «Управление благоустройства г.о. Мытищи», МКУ «Управление ЖКХ г.о. Мытищи», МКУ «Управление транспорта и дорожного хозяйства г.о. Мытищи»  МКУ «Управление в сфере закупок для муниципальных нужд») в Управление</w:t>
      </w:r>
      <w:proofErr w:type="gramEnd"/>
      <w:r>
        <w:rPr>
          <w:rFonts w:ascii="Times New Roman" w:hAnsi="Times New Roman" w:cs="Times New Roman"/>
          <w:sz w:val="28"/>
          <w:szCs w:val="28"/>
        </w:rPr>
        <w:t xml:space="preserve"> федеральной антимонопольной службы по Московской  области была подано      83 жалобы.   </w:t>
      </w:r>
      <w:proofErr w:type="gramStart"/>
      <w:r>
        <w:rPr>
          <w:rFonts w:ascii="Times New Roman" w:hAnsi="Times New Roman" w:cs="Times New Roman"/>
          <w:sz w:val="28"/>
          <w:szCs w:val="28"/>
        </w:rPr>
        <w:t>Из них  42 жалобы признаны необоснованными,  15 жалоб признаны частично обоснованными, 24 жалобы   признаны обоснованными, 2 жалобы отозваны по их доводам проведены внеплановые проверки, выявившие нарушения.</w:t>
      </w:r>
      <w:proofErr w:type="gramEnd"/>
      <w:r>
        <w:rPr>
          <w:rFonts w:ascii="Times New Roman" w:hAnsi="Times New Roman" w:cs="Times New Roman"/>
          <w:sz w:val="28"/>
          <w:szCs w:val="28"/>
        </w:rPr>
        <w:t xml:space="preserve"> Выдано 14 предписаний. Предписания исполнены. 1 жалоба подана в ГКУ МО, жалоба признана обоснованной, выдано предписание. Предписание исполнено. </w:t>
      </w:r>
    </w:p>
    <w:p w:rsidR="00E92479" w:rsidRDefault="00E92479" w:rsidP="00E92479">
      <w:pPr>
        <w:autoSpaceDE w:val="0"/>
        <w:autoSpaceDN w:val="0"/>
        <w:adjustRightInd w:val="0"/>
        <w:spacing w:after="0" w:line="30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 результатам мониторинга представленных решений  вынесенных ФАС по МО в отношении заказчиков Администрации городского округа Мытищи  можно выделить нарушения, наиболее часто допускаемые при осуществлении закупок  заказчиками  и комиссией нарушения положений,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p w:rsidR="00E92479" w:rsidRPr="00455210" w:rsidRDefault="00E92479" w:rsidP="00E92479">
      <w:pPr>
        <w:autoSpaceDE w:val="0"/>
        <w:autoSpaceDN w:val="0"/>
        <w:adjustRightInd w:val="0"/>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п.5.ст. 5 размещение документации в формате «</w:t>
      </w:r>
      <w:r>
        <w:rPr>
          <w:rFonts w:ascii="Times New Roman" w:hAnsi="Times New Roman" w:cs="Times New Roman"/>
          <w:sz w:val="28"/>
          <w:szCs w:val="28"/>
          <w:lang w:val="en-US"/>
        </w:rPr>
        <w:t>pdf</w:t>
      </w:r>
      <w:r>
        <w:rPr>
          <w:rFonts w:ascii="Times New Roman" w:hAnsi="Times New Roman" w:cs="Times New Roman"/>
          <w:sz w:val="28"/>
          <w:szCs w:val="28"/>
        </w:rPr>
        <w:t>» не позволяющей копировать текст и осуществлять поиск слов и словосочетаний;</w:t>
      </w:r>
    </w:p>
    <w:p w:rsidR="00E92479" w:rsidRDefault="00E92479" w:rsidP="00E92479">
      <w:pPr>
        <w:autoSpaceDE w:val="0"/>
        <w:autoSpaceDN w:val="0"/>
        <w:adjustRightInd w:val="0"/>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ч. 4 ст. 31- не установление дополнительных требований или установление излишних требований к участникам закупки;</w:t>
      </w:r>
    </w:p>
    <w:p w:rsidR="00E92479" w:rsidRDefault="00E92479" w:rsidP="00E92479">
      <w:pPr>
        <w:autoSpaceDE w:val="0"/>
        <w:autoSpaceDN w:val="0"/>
        <w:adjustRightInd w:val="0"/>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ч.1 ст. 34 –нарушение при установлении срока выполнения работ (оказания услуг, поставки товара);</w:t>
      </w:r>
    </w:p>
    <w:p w:rsidR="00E92479" w:rsidRDefault="00E92479" w:rsidP="00E92479">
      <w:pPr>
        <w:autoSpaceDE w:val="0"/>
        <w:autoSpaceDN w:val="0"/>
        <w:adjustRightInd w:val="0"/>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 1, п.4, ч.2 ст. 42 - нарушения при описании объекта закупки; выбран код ОКПД не соответствующий объекту закупки; нарушения при описании  </w:t>
      </w:r>
      <w:proofErr w:type="gramStart"/>
      <w:r>
        <w:rPr>
          <w:rFonts w:ascii="Times New Roman" w:hAnsi="Times New Roman" w:cs="Times New Roman"/>
          <w:sz w:val="28"/>
          <w:szCs w:val="28"/>
        </w:rPr>
        <w:t>порядка определения оценки рассмотрения заявок</w:t>
      </w:r>
      <w:proofErr w:type="gramEnd"/>
      <w:r>
        <w:rPr>
          <w:rFonts w:ascii="Times New Roman" w:hAnsi="Times New Roman" w:cs="Times New Roman"/>
          <w:sz w:val="28"/>
          <w:szCs w:val="28"/>
        </w:rPr>
        <w:t>;</w:t>
      </w:r>
    </w:p>
    <w:p w:rsidR="00E92479" w:rsidRDefault="00E92479" w:rsidP="00E92479">
      <w:pPr>
        <w:autoSpaceDE w:val="0"/>
        <w:autoSpaceDN w:val="0"/>
        <w:adjustRightInd w:val="0"/>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п. 1, ч. 11, ч. 13, ст. 48 -  нарушения при рассмотрении заявок на участие в закупке и составлении протокола рассмотрения и оценки заявок;</w:t>
      </w:r>
    </w:p>
    <w:p w:rsidR="00E92479" w:rsidRDefault="00E92479" w:rsidP="00E92479">
      <w:pPr>
        <w:autoSpaceDE w:val="0"/>
        <w:autoSpaceDN w:val="0"/>
        <w:adjustRightInd w:val="0"/>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п. 1 ч. 5 ст. 49- нарушения при утверждении положений извещения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неправомерное отклонение заявок на участие в аукционе;</w:t>
      </w:r>
    </w:p>
    <w:p w:rsidR="00E92479" w:rsidRDefault="00E92479" w:rsidP="00E92479">
      <w:pPr>
        <w:shd w:val="clear" w:color="auto" w:fill="FFFFFF"/>
        <w:spacing w:after="0" w:line="30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Нарушений при  проведении конкурсов по отбору управляющей организации для управления многоквартирными домами не выявлено.  </w:t>
      </w:r>
    </w:p>
    <w:p w:rsidR="00E92479" w:rsidRDefault="00E92479" w:rsidP="00E92479">
      <w:pPr>
        <w:shd w:val="clear" w:color="auto" w:fill="FFFFFF"/>
        <w:spacing w:after="0" w:line="30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Нарушений при владении, пользовании и распоряжении муниципальным имуществом не выявлено. </w:t>
      </w:r>
    </w:p>
    <w:p w:rsidR="00E92479" w:rsidRDefault="00E92479" w:rsidP="00E92479">
      <w:pPr>
        <w:shd w:val="clear" w:color="auto" w:fill="FFFFFF"/>
        <w:spacing w:after="0" w:line="30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Нарушений при оказании финансовой поддержки субъектам малого и среднего предпринимательства не выявлено. </w:t>
      </w:r>
    </w:p>
    <w:p w:rsidR="00E92479" w:rsidRDefault="00E92479" w:rsidP="00E92479">
      <w:pPr>
        <w:shd w:val="clear" w:color="auto" w:fill="FFFFFF"/>
        <w:spacing w:after="0" w:line="30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За 2023 год  уведомлений от муниципальных служащих и работников Администрации  о возможном возникновении конфликта интересов не поступало. Неисполнение муниципальными служащими обязанностей по предотвращению или урегулированию конфликта интересов не выявлено.</w:t>
      </w:r>
    </w:p>
    <w:p w:rsidR="00E92479" w:rsidRDefault="00E92479" w:rsidP="00E92479">
      <w:pPr>
        <w:shd w:val="clear" w:color="auto" w:fill="FFFFFF"/>
        <w:spacing w:after="0" w:line="30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Ключевыми показателями эффективности </w:t>
      </w:r>
      <w:proofErr w:type="gramStart"/>
      <w:r>
        <w:rPr>
          <w:rFonts w:ascii="Times New Roman" w:hAnsi="Times New Roman" w:cs="Times New Roman"/>
          <w:sz w:val="28"/>
          <w:szCs w:val="28"/>
        </w:rPr>
        <w:t>антимонопольного</w:t>
      </w:r>
      <w:proofErr w:type="gramEnd"/>
      <w:r>
        <w:rPr>
          <w:rFonts w:ascii="Times New Roman" w:hAnsi="Times New Roman" w:cs="Times New Roman"/>
          <w:sz w:val="28"/>
          <w:szCs w:val="28"/>
        </w:rPr>
        <w:t xml:space="preserve"> комплаенса Администрации являются:</w:t>
      </w:r>
    </w:p>
    <w:p w:rsidR="00E92479" w:rsidRDefault="00E92479" w:rsidP="00E92479">
      <w:pPr>
        <w:pStyle w:val="a4"/>
        <w:numPr>
          <w:ilvl w:val="0"/>
          <w:numId w:val="1"/>
        </w:numPr>
        <w:shd w:val="clear" w:color="auto" w:fill="FFFFFF"/>
        <w:spacing w:after="0" w:line="300" w:lineRule="auto"/>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коэффициент снижения количества нарушений антимонопольного законодательства со стороны Администрации (по сравнению с предыдущим годом);</w:t>
      </w:r>
    </w:p>
    <w:p w:rsidR="00E92479" w:rsidRDefault="00E92479" w:rsidP="00E92479">
      <w:pPr>
        <w:pStyle w:val="a4"/>
        <w:numPr>
          <w:ilvl w:val="0"/>
          <w:numId w:val="1"/>
        </w:numPr>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доля проектов НПА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в которых выявлены нарушения антимонопольного законодательства;</w:t>
      </w:r>
    </w:p>
    <w:p w:rsidR="00E92479" w:rsidRDefault="00E92479" w:rsidP="00E92479">
      <w:pPr>
        <w:pStyle w:val="a4"/>
        <w:numPr>
          <w:ilvl w:val="0"/>
          <w:numId w:val="1"/>
        </w:numPr>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доля НПА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в которых выявлены нарушения антимонопольного законодательства.</w:t>
      </w:r>
    </w:p>
    <w:p w:rsidR="00E92479" w:rsidRDefault="00E92479" w:rsidP="00E92479">
      <w:pPr>
        <w:pStyle w:val="a4"/>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о достижении ключевых показателей эффективности антимонопольного комплаенса по итогам 2023 года:</w:t>
      </w:r>
    </w:p>
    <w:p w:rsidR="00E92479" w:rsidRPr="00F63B4D" w:rsidRDefault="00E92479" w:rsidP="00E92479">
      <w:pPr>
        <w:pStyle w:val="a4"/>
        <w:numPr>
          <w:ilvl w:val="0"/>
          <w:numId w:val="2"/>
        </w:numPr>
        <w:autoSpaceDE w:val="0"/>
        <w:autoSpaceDN w:val="0"/>
        <w:adjustRightInd w:val="0"/>
        <w:spacing w:after="0" w:line="300" w:lineRule="auto"/>
        <w:ind w:left="0" w:firstLine="709"/>
        <w:jc w:val="both"/>
        <w:rPr>
          <w:rFonts w:ascii="Times New Roman" w:hAnsi="Times New Roman" w:cs="Times New Roman"/>
          <w:sz w:val="28"/>
          <w:szCs w:val="28"/>
        </w:rPr>
      </w:pPr>
      <w:r w:rsidRPr="00F63B4D">
        <w:rPr>
          <w:rFonts w:ascii="Times New Roman" w:hAnsi="Times New Roman" w:cs="Times New Roman"/>
          <w:sz w:val="28"/>
          <w:szCs w:val="28"/>
        </w:rPr>
        <w:t xml:space="preserve">в 2023 году Администрацией </w:t>
      </w:r>
      <w:proofErr w:type="gramStart"/>
      <w:r w:rsidRPr="00F63B4D">
        <w:rPr>
          <w:rFonts w:ascii="Times New Roman" w:hAnsi="Times New Roman" w:cs="Times New Roman"/>
          <w:sz w:val="28"/>
          <w:szCs w:val="28"/>
        </w:rPr>
        <w:t>допущено и выявлено</w:t>
      </w:r>
      <w:proofErr w:type="gramEnd"/>
      <w:r w:rsidRPr="00F63B4D">
        <w:rPr>
          <w:rFonts w:ascii="Times New Roman" w:hAnsi="Times New Roman" w:cs="Times New Roman"/>
          <w:sz w:val="28"/>
          <w:szCs w:val="28"/>
        </w:rPr>
        <w:t xml:space="preserve"> 40 нарушений антимонопольного законодательства, что больше на 23  нарушений выявленных          в 2022 году.  Значение КСН (коэффициент снижения количества нарушений антимонопольного законодательства составляет 0,</w:t>
      </w:r>
      <w:r>
        <w:rPr>
          <w:rFonts w:ascii="Times New Roman" w:hAnsi="Times New Roman" w:cs="Times New Roman"/>
          <w:sz w:val="28"/>
          <w:szCs w:val="28"/>
        </w:rPr>
        <w:t>58</w:t>
      </w:r>
      <w:r w:rsidRPr="00F63B4D">
        <w:rPr>
          <w:rFonts w:ascii="Times New Roman" w:hAnsi="Times New Roman" w:cs="Times New Roman"/>
          <w:sz w:val="28"/>
          <w:szCs w:val="28"/>
        </w:rPr>
        <w:t>)  в 2023году  не достигнут</w:t>
      </w:r>
      <w:r>
        <w:rPr>
          <w:rFonts w:ascii="Times New Roman" w:hAnsi="Times New Roman" w:cs="Times New Roman"/>
          <w:sz w:val="28"/>
          <w:szCs w:val="28"/>
        </w:rPr>
        <w:t>о</w:t>
      </w:r>
      <w:r w:rsidRPr="00F63B4D">
        <w:rPr>
          <w:rFonts w:ascii="Times New Roman" w:hAnsi="Times New Roman" w:cs="Times New Roman"/>
          <w:sz w:val="28"/>
          <w:szCs w:val="28"/>
        </w:rPr>
        <w:t xml:space="preserve">. При расчете </w:t>
      </w:r>
      <w:proofErr w:type="gramStart"/>
      <w:r w:rsidRPr="00F63B4D">
        <w:rPr>
          <w:rFonts w:ascii="Times New Roman" w:hAnsi="Times New Roman" w:cs="Times New Roman"/>
          <w:sz w:val="28"/>
          <w:szCs w:val="28"/>
        </w:rPr>
        <w:t>показателя снижения количества нарушений антимонопольного законодательства</w:t>
      </w:r>
      <w:proofErr w:type="gramEnd"/>
      <w:r w:rsidRPr="00F63B4D">
        <w:rPr>
          <w:rFonts w:ascii="Times New Roman" w:hAnsi="Times New Roman" w:cs="Times New Roman"/>
          <w:sz w:val="28"/>
          <w:szCs w:val="28"/>
        </w:rPr>
        <w:t xml:space="preserve"> со стороны федерального органа исполнительной власти под нарушением антимонопольного законодательства со стороны Администрации понимаются:</w:t>
      </w:r>
    </w:p>
    <w:p w:rsidR="00E92479" w:rsidRPr="00C7529A" w:rsidRDefault="00E92479" w:rsidP="00E92479">
      <w:pPr>
        <w:pStyle w:val="a4"/>
        <w:autoSpaceDE w:val="0"/>
        <w:autoSpaceDN w:val="0"/>
        <w:adjustRightInd w:val="0"/>
        <w:spacing w:after="0" w:line="300" w:lineRule="auto"/>
        <w:ind w:left="0" w:firstLine="709"/>
        <w:jc w:val="both"/>
        <w:rPr>
          <w:rFonts w:ascii="Times New Roman" w:hAnsi="Times New Roman" w:cs="Times New Roman"/>
          <w:sz w:val="28"/>
          <w:szCs w:val="28"/>
        </w:rPr>
      </w:pPr>
      <w:r w:rsidRPr="00C7529A">
        <w:rPr>
          <w:rFonts w:ascii="Times New Roman" w:hAnsi="Times New Roman" w:cs="Times New Roman"/>
          <w:sz w:val="28"/>
          <w:szCs w:val="28"/>
        </w:rPr>
        <w:t>- решения по делу о нарушении антимонопольного законодательства, принятые антимонопольным органом в отношении Администрации;</w:t>
      </w:r>
    </w:p>
    <w:p w:rsidR="00E92479" w:rsidRPr="00C7529A" w:rsidRDefault="00E92479" w:rsidP="00E92479">
      <w:pPr>
        <w:pStyle w:val="a4"/>
        <w:autoSpaceDE w:val="0"/>
        <w:autoSpaceDN w:val="0"/>
        <w:adjustRightInd w:val="0"/>
        <w:spacing w:after="0" w:line="300" w:lineRule="auto"/>
        <w:ind w:left="0" w:firstLine="709"/>
        <w:jc w:val="both"/>
        <w:rPr>
          <w:rFonts w:ascii="Times New Roman" w:hAnsi="Times New Roman" w:cs="Times New Roman"/>
          <w:sz w:val="28"/>
          <w:szCs w:val="28"/>
        </w:rPr>
      </w:pPr>
      <w:r w:rsidRPr="00C7529A">
        <w:rPr>
          <w:rFonts w:ascii="Times New Roman" w:hAnsi="Times New Roman" w:cs="Times New Roman"/>
          <w:sz w:val="28"/>
          <w:szCs w:val="28"/>
        </w:rPr>
        <w:t>- выданные антимонопольным органом Администрации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E92479" w:rsidRPr="00C7529A" w:rsidRDefault="00E92479" w:rsidP="00E92479">
      <w:pPr>
        <w:autoSpaceDE w:val="0"/>
        <w:autoSpaceDN w:val="0"/>
        <w:adjustRightInd w:val="0"/>
        <w:spacing w:after="0" w:line="300" w:lineRule="auto"/>
        <w:ind w:firstLine="708"/>
        <w:jc w:val="both"/>
        <w:rPr>
          <w:rFonts w:ascii="Times New Roman" w:hAnsi="Times New Roman" w:cs="Times New Roman"/>
          <w:sz w:val="28"/>
          <w:szCs w:val="28"/>
        </w:rPr>
      </w:pPr>
      <w:r w:rsidRPr="00C7529A">
        <w:rPr>
          <w:rFonts w:ascii="Times New Roman" w:hAnsi="Times New Roman" w:cs="Times New Roman"/>
          <w:sz w:val="28"/>
          <w:szCs w:val="28"/>
        </w:rPr>
        <w:t>- направленные антимонопольным органом  Администрации предостережения о недопустимости совершения действий, которые могут привести к нарушению антимонопольного законодательства.</w:t>
      </w:r>
    </w:p>
    <w:p w:rsidR="00E92479" w:rsidRDefault="00E92479" w:rsidP="00E92479">
      <w:pPr>
        <w:pStyle w:val="a4"/>
        <w:numPr>
          <w:ilvl w:val="0"/>
          <w:numId w:val="2"/>
        </w:numPr>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проектов муниципальных правовых актов, в которых установлены  нарушения  антимонопольного  законодательства, </w:t>
      </w:r>
      <w:r>
        <w:rPr>
          <w:rFonts w:ascii="Times New Roman" w:hAnsi="Times New Roman" w:cs="Times New Roman"/>
          <w:sz w:val="28"/>
          <w:szCs w:val="28"/>
        </w:rPr>
        <w:tab/>
        <w:t xml:space="preserve">не выявлено. Значение </w:t>
      </w:r>
      <w:proofErr w:type="spellStart"/>
      <w:r>
        <w:rPr>
          <w:rFonts w:ascii="Times New Roman" w:hAnsi="Times New Roman" w:cs="Times New Roman"/>
          <w:sz w:val="28"/>
          <w:szCs w:val="28"/>
        </w:rPr>
        <w:t>Дпнпа</w:t>
      </w:r>
      <w:proofErr w:type="spellEnd"/>
      <w:r>
        <w:rPr>
          <w:rFonts w:ascii="Times New Roman" w:hAnsi="Times New Roman" w:cs="Times New Roman"/>
          <w:sz w:val="28"/>
          <w:szCs w:val="28"/>
        </w:rPr>
        <w:t xml:space="preserve"> (доля проектов НПА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в которых выявлены нарушения антимонопольного законодательства) равно нулю. Достигнутое значение позволяет сделать вывод об эффективной реализации в Администрации мероприятий, направленных на анализ проектов нормативных правовых актов администрации.</w:t>
      </w:r>
    </w:p>
    <w:p w:rsidR="00E92479" w:rsidRDefault="00E92479" w:rsidP="00E92479">
      <w:pPr>
        <w:pStyle w:val="a4"/>
        <w:numPr>
          <w:ilvl w:val="0"/>
          <w:numId w:val="2"/>
        </w:numPr>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2023 году муниципальных правовых актов, в которых установлены  нарушения  антимонопольного  законодательства, </w:t>
      </w:r>
      <w:r>
        <w:rPr>
          <w:rFonts w:ascii="Times New Roman" w:hAnsi="Times New Roman" w:cs="Times New Roman"/>
          <w:sz w:val="28"/>
          <w:szCs w:val="28"/>
        </w:rPr>
        <w:tab/>
        <w:t xml:space="preserve">не выявлено. Значение </w:t>
      </w:r>
      <w:proofErr w:type="spellStart"/>
      <w:r>
        <w:rPr>
          <w:rFonts w:ascii="Times New Roman" w:hAnsi="Times New Roman" w:cs="Times New Roman"/>
          <w:sz w:val="28"/>
          <w:szCs w:val="28"/>
        </w:rPr>
        <w:t>Днпа</w:t>
      </w:r>
      <w:proofErr w:type="spellEnd"/>
      <w:r>
        <w:rPr>
          <w:rFonts w:ascii="Times New Roman" w:hAnsi="Times New Roman" w:cs="Times New Roman"/>
          <w:sz w:val="28"/>
          <w:szCs w:val="28"/>
        </w:rPr>
        <w:t xml:space="preserve"> (доля НПА Администрации, 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выявлены нарушения </w:t>
      </w:r>
      <w:r>
        <w:rPr>
          <w:rFonts w:ascii="Times New Roman" w:hAnsi="Times New Roman" w:cs="Times New Roman"/>
          <w:sz w:val="28"/>
          <w:szCs w:val="28"/>
        </w:rPr>
        <w:lastRenderedPageBreak/>
        <w:t>антимонопольного законодательства) равно нулю. Достигнутое значение позволяет сделать вывод об эффективной реализации в Администрации мероприятий, направленных               на анализ проектов нормативных правовых актов.</w:t>
      </w:r>
    </w:p>
    <w:p w:rsidR="00E92479" w:rsidRDefault="00E92479" w:rsidP="00E92479">
      <w:pPr>
        <w:pStyle w:val="a4"/>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целях недопущения возрастания рисков нарушения антимонопольного законодательства, а так же повышения уровня эффективности функционирования антимонопольного комплаенса, в Администрации разработан план мероприятий на 2024год, направленный на профилактику и дальнейшее недопущение нарушений антимонопольного законодательства и антимонопольного комплаенса.</w:t>
      </w:r>
    </w:p>
    <w:p w:rsidR="00E92479" w:rsidRDefault="00E92479" w:rsidP="00E92479">
      <w:pPr>
        <w:pStyle w:val="a4"/>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по обеспечению эффективного функционирования  системы внутреннего обеспечения соответствия требованиям антимонопольного законодательств  в Администрации продолжается.</w:t>
      </w:r>
    </w:p>
    <w:p w:rsidR="004F49F1" w:rsidRDefault="004F49F1">
      <w:bookmarkStart w:id="0" w:name="_GoBack"/>
      <w:bookmarkEnd w:id="0"/>
    </w:p>
    <w:sectPr w:rsidR="004F4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3F0A"/>
    <w:multiLevelType w:val="hybridMultilevel"/>
    <w:tmpl w:val="F1FE2756"/>
    <w:lvl w:ilvl="0" w:tplc="7442655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BA54BF2"/>
    <w:multiLevelType w:val="hybridMultilevel"/>
    <w:tmpl w:val="91CCC432"/>
    <w:lvl w:ilvl="0" w:tplc="6B261F3C">
      <w:start w:val="1"/>
      <w:numFmt w:val="decimal"/>
      <w:lvlText w:val="%1)"/>
      <w:lvlJc w:val="left"/>
      <w:pPr>
        <w:ind w:left="3193" w:hanging="360"/>
      </w:pPr>
    </w:lvl>
    <w:lvl w:ilvl="1" w:tplc="04190019">
      <w:start w:val="1"/>
      <w:numFmt w:val="lowerLetter"/>
      <w:lvlText w:val="%2."/>
      <w:lvlJc w:val="left"/>
      <w:pPr>
        <w:ind w:left="3913" w:hanging="360"/>
      </w:pPr>
    </w:lvl>
    <w:lvl w:ilvl="2" w:tplc="0419001B">
      <w:start w:val="1"/>
      <w:numFmt w:val="lowerRoman"/>
      <w:lvlText w:val="%3."/>
      <w:lvlJc w:val="right"/>
      <w:pPr>
        <w:ind w:left="4633" w:hanging="180"/>
      </w:pPr>
    </w:lvl>
    <w:lvl w:ilvl="3" w:tplc="0419000F">
      <w:start w:val="1"/>
      <w:numFmt w:val="decimal"/>
      <w:lvlText w:val="%4."/>
      <w:lvlJc w:val="left"/>
      <w:pPr>
        <w:ind w:left="5353" w:hanging="360"/>
      </w:pPr>
    </w:lvl>
    <w:lvl w:ilvl="4" w:tplc="04190019">
      <w:start w:val="1"/>
      <w:numFmt w:val="lowerLetter"/>
      <w:lvlText w:val="%5."/>
      <w:lvlJc w:val="left"/>
      <w:pPr>
        <w:ind w:left="6073" w:hanging="360"/>
      </w:pPr>
    </w:lvl>
    <w:lvl w:ilvl="5" w:tplc="0419001B">
      <w:start w:val="1"/>
      <w:numFmt w:val="lowerRoman"/>
      <w:lvlText w:val="%6."/>
      <w:lvlJc w:val="right"/>
      <w:pPr>
        <w:ind w:left="6793" w:hanging="180"/>
      </w:pPr>
    </w:lvl>
    <w:lvl w:ilvl="6" w:tplc="0419000F">
      <w:start w:val="1"/>
      <w:numFmt w:val="decimal"/>
      <w:lvlText w:val="%7."/>
      <w:lvlJc w:val="left"/>
      <w:pPr>
        <w:ind w:left="7513" w:hanging="360"/>
      </w:pPr>
    </w:lvl>
    <w:lvl w:ilvl="7" w:tplc="04190019">
      <w:start w:val="1"/>
      <w:numFmt w:val="lowerLetter"/>
      <w:lvlText w:val="%8."/>
      <w:lvlJc w:val="left"/>
      <w:pPr>
        <w:ind w:left="8233" w:hanging="360"/>
      </w:pPr>
    </w:lvl>
    <w:lvl w:ilvl="8" w:tplc="0419001B">
      <w:start w:val="1"/>
      <w:numFmt w:val="lowerRoman"/>
      <w:lvlText w:val="%9."/>
      <w:lvlJc w:val="right"/>
      <w:pPr>
        <w:ind w:left="89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79"/>
    <w:rsid w:val="004F49F1"/>
    <w:rsid w:val="00E9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2479"/>
    <w:rPr>
      <w:color w:val="0000FF" w:themeColor="hyperlink"/>
      <w:u w:val="single"/>
    </w:rPr>
  </w:style>
  <w:style w:type="paragraph" w:styleId="a4">
    <w:name w:val="List Paragraph"/>
    <w:basedOn w:val="a"/>
    <w:uiPriority w:val="34"/>
    <w:qFormat/>
    <w:rsid w:val="00E92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2479"/>
    <w:rPr>
      <w:color w:val="0000FF" w:themeColor="hyperlink"/>
      <w:u w:val="single"/>
    </w:rPr>
  </w:style>
  <w:style w:type="paragraph" w:styleId="a4">
    <w:name w:val="List Paragraph"/>
    <w:basedOn w:val="a"/>
    <w:uiPriority w:val="34"/>
    <w:qFormat/>
    <w:rsid w:val="00E92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tyshi.ru/docs/antimonopolnyj-komplaens-22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2260</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Штанченко Марина Анатольевна</dc:creator>
  <cp:lastModifiedBy>Штанченко Марина Анатольевна</cp:lastModifiedBy>
  <cp:revision>1</cp:revision>
  <dcterms:created xsi:type="dcterms:W3CDTF">2024-04-09T12:17:00Z</dcterms:created>
  <dcterms:modified xsi:type="dcterms:W3CDTF">2024-04-09T12:18:00Z</dcterms:modified>
</cp:coreProperties>
</file>